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58904" w14:textId="77777777" w:rsidR="00000000" w:rsidRDefault="00000000">
      <w:pPr>
        <w:rPr>
          <w:rFonts w:eastAsia="Times New Roman"/>
        </w:rPr>
      </w:pPr>
    </w:p>
    <w:p w14:paraId="7C264CBF" w14:textId="77777777" w:rsidR="00000000" w:rsidRDefault="00000000">
      <w:pPr>
        <w:divId w:val="1916891674"/>
        <w:rPr>
          <w:rFonts w:eastAsia="Times New Roman"/>
        </w:rPr>
      </w:pPr>
      <w:r>
        <w:rPr>
          <w:rFonts w:eastAsia="Times New Roman"/>
          <w:noProof/>
        </w:rPr>
        <w:drawing>
          <wp:anchor distT="0" distB="0" distL="114300" distR="114300" simplePos="0" relativeHeight="251658240" behindDoc="1" locked="0" layoutInCell="1" allowOverlap="1" wp14:anchorId="4E631CF8" wp14:editId="118B17F2">
            <wp:simplePos x="0" y="0"/>
            <wp:positionH relativeFrom="column">
              <wp:posOffset>-914400</wp:posOffset>
            </wp:positionH>
            <wp:positionV relativeFrom="paragraph">
              <wp:posOffset>2540</wp:posOffset>
            </wp:positionV>
            <wp:extent cx="15240000" cy="1771650"/>
            <wp:effectExtent l="0" t="0" r="0" b="0"/>
            <wp:wrapTight wrapText="bothSides">
              <wp:wrapPolygon edited="0">
                <wp:start x="0" y="0"/>
                <wp:lineTo x="0" y="17419"/>
                <wp:lineTo x="1944" y="18581"/>
                <wp:lineTo x="1944" y="19277"/>
                <wp:lineTo x="17388" y="21368"/>
                <wp:lineTo x="21465" y="21368"/>
                <wp:lineTo x="21573" y="21368"/>
                <wp:lineTo x="21573" y="0"/>
                <wp:lineTo x="0"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5240000" cy="1771650"/>
                    </a:xfrm>
                    <a:prstGeom prst="rect">
                      <a:avLst/>
                    </a:prstGeom>
                    <a:noFill/>
                    <a:ln>
                      <a:noFill/>
                    </a:ln>
                  </pic:spPr>
                </pic:pic>
              </a:graphicData>
            </a:graphic>
          </wp:anchor>
        </w:drawing>
      </w:r>
    </w:p>
    <w:p w14:paraId="645B239C" w14:textId="77777777" w:rsidR="00000000" w:rsidRDefault="00000000">
      <w:pPr>
        <w:pStyle w:val="Heading1"/>
        <w:divId w:val="1916891674"/>
        <w:rPr>
          <w:rFonts w:eastAsia="Times New Roman"/>
        </w:rPr>
      </w:pPr>
      <w:r>
        <w:rPr>
          <w:rFonts w:eastAsia="Times New Roman"/>
        </w:rPr>
        <w:t>Heat health alert updated for the North East</w:t>
      </w:r>
    </w:p>
    <w:p w14:paraId="17720AFD" w14:textId="77777777" w:rsidR="00000000" w:rsidRDefault="00000000">
      <w:pPr>
        <w:pStyle w:val="NormalWeb"/>
        <w:divId w:val="1916891674"/>
      </w:pPr>
      <w:r>
        <w:t xml:space="preserve">The yellow heat health alert is in effect from </w:t>
      </w:r>
      <w:r>
        <w:rPr>
          <w:b/>
          <w:bCs/>
        </w:rPr>
        <w:t>11AM on 22/06/2026 until 11PM on 26/06/2026</w:t>
      </w:r>
      <w:r>
        <w:t xml:space="preserve"> across the </w:t>
      </w:r>
      <w:r>
        <w:rPr>
          <w:b/>
          <w:bCs/>
        </w:rPr>
        <w:t>North East</w:t>
      </w:r>
      <w:r>
        <w:t>. The yellow alert has a matrix score of 10. This means:</w:t>
      </w:r>
      <w:r>
        <w:br/>
      </w:r>
      <w:r>
        <w:br/>
        <w:t xml:space="preserve">Significant impacts are </w:t>
      </w:r>
      <w:r>
        <w:rPr>
          <w:b/>
          <w:bCs/>
        </w:rPr>
        <w:t>possible</w:t>
      </w:r>
      <w:r>
        <w:t xml:space="preserve"> across health and social care services due to the high temperatures, including:</w:t>
      </w:r>
    </w:p>
    <w:p w14:paraId="0D1C544B" w14:textId="77777777" w:rsidR="00000000" w:rsidRDefault="00000000">
      <w:pPr>
        <w:numPr>
          <w:ilvl w:val="0"/>
          <w:numId w:val="1"/>
        </w:numPr>
        <w:spacing w:before="100" w:beforeAutospacing="1" w:after="100" w:afterAutospacing="1"/>
        <w:divId w:val="1916891674"/>
        <w:rPr>
          <w:rFonts w:eastAsia="Times New Roman"/>
        </w:rPr>
      </w:pPr>
      <w:r>
        <w:rPr>
          <w:rFonts w:eastAsia="Times New Roman"/>
        </w:rPr>
        <w:t>a rise in deaths, particularly among those aged 65 and over or with health conditions. There may also be impacts on younger age groups</w:t>
      </w:r>
    </w:p>
    <w:p w14:paraId="12DA868F" w14:textId="77777777" w:rsidR="00000000" w:rsidRDefault="00000000">
      <w:pPr>
        <w:numPr>
          <w:ilvl w:val="0"/>
          <w:numId w:val="1"/>
        </w:numPr>
        <w:spacing w:before="100" w:beforeAutospacing="1" w:after="100" w:afterAutospacing="1"/>
        <w:divId w:val="1916891674"/>
        <w:rPr>
          <w:rFonts w:eastAsia="Times New Roman"/>
        </w:rPr>
      </w:pPr>
      <w:r>
        <w:rPr>
          <w:rFonts w:eastAsia="Times New Roman"/>
        </w:rPr>
        <w:t>a likely increase in demand for health services</w:t>
      </w:r>
    </w:p>
    <w:p w14:paraId="6468D019" w14:textId="77777777" w:rsidR="00000000" w:rsidRDefault="00000000">
      <w:pPr>
        <w:numPr>
          <w:ilvl w:val="0"/>
          <w:numId w:val="1"/>
        </w:numPr>
        <w:spacing w:before="100" w:beforeAutospacing="1" w:after="100" w:afterAutospacing="1"/>
        <w:divId w:val="1916891674"/>
        <w:rPr>
          <w:rFonts w:eastAsia="Times New Roman"/>
        </w:rPr>
      </w:pPr>
      <w:r>
        <w:rPr>
          <w:rFonts w:eastAsia="Times New Roman"/>
        </w:rPr>
        <w:t>internal temperatures in care settings (hospitals and care homes) may exceed the recommended threshold for clinical risk assessment</w:t>
      </w:r>
    </w:p>
    <w:p w14:paraId="2404391C" w14:textId="77777777" w:rsidR="00000000" w:rsidRDefault="00000000">
      <w:pPr>
        <w:numPr>
          <w:ilvl w:val="0"/>
          <w:numId w:val="1"/>
        </w:numPr>
        <w:spacing w:before="100" w:beforeAutospacing="1" w:after="100" w:afterAutospacing="1"/>
        <w:divId w:val="1916891674"/>
        <w:rPr>
          <w:rFonts w:eastAsia="Times New Roman"/>
        </w:rPr>
      </w:pPr>
      <w:r>
        <w:rPr>
          <w:rFonts w:eastAsia="Times New Roman"/>
        </w:rPr>
        <w:t>the heat affecting the ability of the workforce to deliver services</w:t>
      </w:r>
    </w:p>
    <w:p w14:paraId="510F9B79" w14:textId="77777777" w:rsidR="00000000" w:rsidRDefault="00000000">
      <w:pPr>
        <w:numPr>
          <w:ilvl w:val="0"/>
          <w:numId w:val="1"/>
        </w:numPr>
        <w:spacing w:before="100" w:beforeAutospacing="1" w:after="100" w:afterAutospacing="1"/>
        <w:divId w:val="1916891674"/>
        <w:rPr>
          <w:rFonts w:eastAsia="Times New Roman"/>
        </w:rPr>
      </w:pPr>
      <w:r>
        <w:rPr>
          <w:rFonts w:eastAsia="Times New Roman"/>
        </w:rPr>
        <w:t>indoor environments overheating increasing the risk to vulnerable people living independently in community and care settings</w:t>
      </w:r>
    </w:p>
    <w:p w14:paraId="5ECC428D" w14:textId="77777777" w:rsidR="00000000" w:rsidRDefault="00000000">
      <w:pPr>
        <w:numPr>
          <w:ilvl w:val="0"/>
          <w:numId w:val="1"/>
        </w:numPr>
        <w:spacing w:before="100" w:beforeAutospacing="1" w:after="100" w:afterAutospacing="1"/>
        <w:divId w:val="1916891674"/>
        <w:rPr>
          <w:rFonts w:eastAsia="Times New Roman"/>
        </w:rPr>
      </w:pPr>
      <w:r>
        <w:rPr>
          <w:rFonts w:eastAsia="Times New Roman"/>
        </w:rPr>
        <w:t>water-related incidents may increase, including risks from cold-water shock and drowning</w:t>
      </w:r>
    </w:p>
    <w:p w14:paraId="5D221401" w14:textId="77777777" w:rsidR="00000000" w:rsidRDefault="00000000">
      <w:pPr>
        <w:pStyle w:val="NormalWeb"/>
        <w:divId w:val="1916891674"/>
      </w:pPr>
      <w:r>
        <w:t xml:space="preserve">You can see all the </w:t>
      </w:r>
      <w:hyperlink r:id="rId7" w:history="1">
        <w:r>
          <w:rPr>
            <w:rStyle w:val="Hyperlink"/>
          </w:rPr>
          <w:t>weather health alerts currently in place across England</w:t>
        </w:r>
      </w:hyperlink>
      <w:r>
        <w:t xml:space="preserve"> on the UKHSA data dashboard.</w:t>
      </w:r>
    </w:p>
    <w:p w14:paraId="7F666312" w14:textId="77777777" w:rsidR="00000000" w:rsidRDefault="00000000">
      <w:pPr>
        <w:pStyle w:val="Heading2"/>
        <w:divId w:val="1916891674"/>
        <w:rPr>
          <w:rFonts w:eastAsia="Times New Roman"/>
        </w:rPr>
      </w:pPr>
      <w:r>
        <w:rPr>
          <w:rFonts w:eastAsia="Times New Roman"/>
        </w:rPr>
        <w:t>How to take action if you have a duty to respond</w:t>
      </w:r>
    </w:p>
    <w:p w14:paraId="15F39B48" w14:textId="77777777" w:rsidR="00000000" w:rsidRDefault="00000000">
      <w:pPr>
        <w:pStyle w:val="NormalWeb"/>
        <w:divId w:val="1916891674"/>
      </w:pPr>
      <w:r>
        <w:t xml:space="preserve">Please review the </w:t>
      </w:r>
      <w:hyperlink r:id="rId8" w:history="1">
        <w:r>
          <w:rPr>
            <w:rStyle w:val="Hyperlink"/>
          </w:rPr>
          <w:t>Weather Health Alert System user guidance</w:t>
        </w:r>
      </w:hyperlink>
      <w:r>
        <w:t xml:space="preserve"> to explain how you can use the information contained within the alerts to respond to the forecast weather.</w:t>
      </w:r>
    </w:p>
    <w:p w14:paraId="3D98E8CE" w14:textId="77777777" w:rsidR="00000000" w:rsidRDefault="00000000">
      <w:pPr>
        <w:pStyle w:val="NormalWeb"/>
        <w:divId w:val="1916891674"/>
      </w:pPr>
      <w:r>
        <w:t xml:space="preserve">We provide guidance on how to take action for a range of professional groups with a duty to respond, with action cards available for </w:t>
      </w:r>
      <w:hyperlink r:id="rId9" w:history="1">
        <w:r>
          <w:rPr>
            <w:rStyle w:val="Hyperlink"/>
          </w:rPr>
          <w:t>commissioners</w:t>
        </w:r>
      </w:hyperlink>
      <w:r>
        <w:t xml:space="preserve">, </w:t>
      </w:r>
      <w:hyperlink r:id="rId10" w:history="1">
        <w:r>
          <w:rPr>
            <w:rStyle w:val="Hyperlink"/>
          </w:rPr>
          <w:t>health and social care providers</w:t>
        </w:r>
      </w:hyperlink>
      <w:r>
        <w:t xml:space="preserve">, </w:t>
      </w:r>
      <w:hyperlink r:id="rId11" w:history="1">
        <w:r>
          <w:rPr>
            <w:rStyle w:val="Hyperlink"/>
          </w:rPr>
          <w:t>voluntary and community sector</w:t>
        </w:r>
      </w:hyperlink>
      <w:r>
        <w:t xml:space="preserve">, and </w:t>
      </w:r>
      <w:hyperlink r:id="rId12" w:history="1">
        <w:r>
          <w:rPr>
            <w:rStyle w:val="Hyperlink"/>
          </w:rPr>
          <w:t xml:space="preserve">national government. </w:t>
        </w:r>
      </w:hyperlink>
      <w:r>
        <w:t>Summary action cards are also available below:</w:t>
      </w:r>
    </w:p>
    <w:p w14:paraId="2E2803E6" w14:textId="77777777" w:rsidR="00000000" w:rsidRDefault="00000000">
      <w:pPr>
        <w:divId w:val="1916891674"/>
        <w:rPr>
          <w:rFonts w:eastAsia="Times New Roman"/>
        </w:rPr>
      </w:pPr>
      <w:r>
        <w:rPr>
          <w:rFonts w:eastAsia="Times New Roman" w:hAnsi="Symbol"/>
        </w:rPr>
        <w:t></w:t>
      </w:r>
      <w:r>
        <w:rPr>
          <w:rFonts w:eastAsia="Times New Roman"/>
        </w:rPr>
        <w:t xml:space="preserve">  </w:t>
      </w:r>
      <w:hyperlink r:id="rId13" w:history="1">
        <w:r>
          <w:rPr>
            <w:rStyle w:val="Hyperlink"/>
            <w:rFonts w:eastAsia="Times New Roman"/>
          </w:rPr>
          <w:t>commissioners</w:t>
        </w:r>
      </w:hyperlink>
    </w:p>
    <w:p w14:paraId="502A58F5" w14:textId="77777777" w:rsidR="00000000" w:rsidRDefault="00000000">
      <w:pPr>
        <w:divId w:val="1916891674"/>
        <w:rPr>
          <w:rFonts w:eastAsia="Times New Roman"/>
        </w:rPr>
      </w:pPr>
      <w:r>
        <w:rPr>
          <w:rFonts w:eastAsia="Times New Roman" w:hAnsi="Symbol"/>
        </w:rPr>
        <w:t></w:t>
      </w:r>
      <w:r>
        <w:rPr>
          <w:rFonts w:eastAsia="Times New Roman"/>
        </w:rPr>
        <w:t xml:space="preserve">  </w:t>
      </w:r>
      <w:hyperlink r:id="rId14" w:history="1">
        <w:r>
          <w:rPr>
            <w:rStyle w:val="Hyperlink"/>
            <w:rFonts w:eastAsia="Times New Roman"/>
          </w:rPr>
          <w:t>voluntary and community sector</w:t>
        </w:r>
      </w:hyperlink>
    </w:p>
    <w:p w14:paraId="03A39702" w14:textId="77777777" w:rsidR="00000000" w:rsidRDefault="00000000">
      <w:pPr>
        <w:divId w:val="1916891674"/>
        <w:rPr>
          <w:rFonts w:eastAsia="Times New Roman"/>
        </w:rPr>
      </w:pPr>
      <w:r>
        <w:rPr>
          <w:rFonts w:eastAsia="Times New Roman" w:hAnsi="Symbol"/>
        </w:rPr>
        <w:lastRenderedPageBreak/>
        <w:t></w:t>
      </w:r>
      <w:r>
        <w:rPr>
          <w:rFonts w:eastAsia="Times New Roman"/>
        </w:rPr>
        <w:t xml:space="preserve">  </w:t>
      </w:r>
      <w:hyperlink r:id="rId15" w:history="1">
        <w:r>
          <w:rPr>
            <w:rStyle w:val="Hyperlink"/>
            <w:rFonts w:eastAsia="Times New Roman"/>
          </w:rPr>
          <w:t>care homes and other residential settings</w:t>
        </w:r>
      </w:hyperlink>
    </w:p>
    <w:p w14:paraId="35E4DFB3" w14:textId="77777777" w:rsidR="00000000" w:rsidRDefault="00000000">
      <w:pPr>
        <w:divId w:val="1916891674"/>
        <w:rPr>
          <w:rFonts w:eastAsia="Times New Roman"/>
        </w:rPr>
      </w:pPr>
      <w:r>
        <w:rPr>
          <w:rFonts w:eastAsia="Times New Roman" w:hAnsi="Symbol"/>
        </w:rPr>
        <w:t></w:t>
      </w:r>
      <w:r>
        <w:rPr>
          <w:rFonts w:eastAsia="Times New Roman"/>
        </w:rPr>
        <w:t xml:space="preserve">  </w:t>
      </w:r>
      <w:hyperlink r:id="rId16" w:history="1">
        <w:r>
          <w:rPr>
            <w:rStyle w:val="Hyperlink"/>
            <w:rFonts w:eastAsia="Times New Roman"/>
          </w:rPr>
          <w:t>services delivering care to people in their homes</w:t>
        </w:r>
      </w:hyperlink>
    </w:p>
    <w:p w14:paraId="2866A3CE" w14:textId="77777777" w:rsidR="00000000" w:rsidRDefault="00000000">
      <w:pPr>
        <w:divId w:val="1916891674"/>
        <w:rPr>
          <w:rFonts w:eastAsia="Times New Roman"/>
        </w:rPr>
      </w:pPr>
      <w:r>
        <w:rPr>
          <w:rFonts w:eastAsia="Times New Roman" w:hAnsi="Symbol"/>
        </w:rPr>
        <w:t></w:t>
      </w:r>
      <w:r>
        <w:rPr>
          <w:rFonts w:eastAsia="Times New Roman"/>
        </w:rPr>
        <w:t xml:space="preserve">  </w:t>
      </w:r>
      <w:hyperlink r:id="rId17" w:history="1">
        <w:r>
          <w:rPr>
            <w:rStyle w:val="Hyperlink"/>
            <w:rFonts w:eastAsia="Times New Roman"/>
          </w:rPr>
          <w:t>hospitals and other healthcare settings</w:t>
        </w:r>
      </w:hyperlink>
    </w:p>
    <w:p w14:paraId="04A6DE25" w14:textId="77777777" w:rsidR="00000000" w:rsidRDefault="00000000">
      <w:pPr>
        <w:pStyle w:val="NormalWeb"/>
        <w:divId w:val="1916891674"/>
      </w:pPr>
      <w:r>
        <w:t xml:space="preserve">For an overview of the weather alerts in place across England, please check the </w:t>
      </w:r>
      <w:hyperlink r:id="rId18" w:history="1">
        <w:r>
          <w:rPr>
            <w:rStyle w:val="Hyperlink"/>
          </w:rPr>
          <w:t>UKHSA data dashboard</w:t>
        </w:r>
      </w:hyperlink>
      <w:r>
        <w:t>.</w:t>
      </w:r>
    </w:p>
    <w:p w14:paraId="10A4EFC9" w14:textId="77777777" w:rsidR="00000000" w:rsidRDefault="00000000">
      <w:pPr>
        <w:pStyle w:val="NormalWeb"/>
        <w:divId w:val="1916891674"/>
      </w:pPr>
      <w:r>
        <w:t xml:space="preserve">The Met Office may issue National Severe Weather Warnings (for example, extreme heat) with short notice, so you can take appropriate action. Check the Met Office Website to see the </w:t>
      </w:r>
      <w:hyperlink r:id="rId19" w:history="1">
        <w:r>
          <w:rPr>
            <w:rStyle w:val="Hyperlink"/>
          </w:rPr>
          <w:t>National Severe Weather Warnings</w:t>
        </w:r>
      </w:hyperlink>
      <w:r>
        <w:t xml:space="preserve"> currently in place.</w:t>
      </w:r>
    </w:p>
    <w:p w14:paraId="228FAA4B" w14:textId="77777777" w:rsidR="00000000" w:rsidRDefault="00000000">
      <w:pPr>
        <w:pStyle w:val="NormalWeb"/>
        <w:divId w:val="1916891674"/>
      </w:pPr>
      <w:r>
        <w:t xml:space="preserve">You can also find information of the </w:t>
      </w:r>
      <w:hyperlink r:id="rId20" w:history="1">
        <w:r>
          <w:rPr>
            <w:rStyle w:val="Hyperlink"/>
          </w:rPr>
          <w:t>latest weather forecast</w:t>
        </w:r>
      </w:hyperlink>
      <w:r>
        <w:t xml:space="preserve"> on the Met Office website.</w:t>
      </w:r>
    </w:p>
    <w:p w14:paraId="7C84C287" w14:textId="77777777" w:rsidR="00000000" w:rsidRDefault="00000000">
      <w:pPr>
        <w:pStyle w:val="Heading2"/>
        <w:divId w:val="1916891674"/>
        <w:rPr>
          <w:rFonts w:eastAsia="Times New Roman"/>
        </w:rPr>
      </w:pPr>
      <w:r>
        <w:rPr>
          <w:rFonts w:eastAsia="Times New Roman"/>
        </w:rPr>
        <w:t>How to protect yourself if you are vulnerable</w:t>
      </w:r>
    </w:p>
    <w:p w14:paraId="0C27B998" w14:textId="77777777" w:rsidR="00000000" w:rsidRDefault="00000000">
      <w:pPr>
        <w:pStyle w:val="NormalWeb"/>
        <w:divId w:val="1916891674"/>
      </w:pPr>
      <w:r>
        <w:t xml:space="preserve">While exposure to hot weather can affect anyone, some people are particularly at risk. We have published </w:t>
      </w:r>
      <w:hyperlink r:id="rId21" w:history="1">
        <w:r>
          <w:rPr>
            <w:rStyle w:val="Hyperlink"/>
          </w:rPr>
          <w:t>guidance on staying safe during hot weather.</w:t>
        </w:r>
      </w:hyperlink>
    </w:p>
    <w:p w14:paraId="6B07BC21" w14:textId="77777777" w:rsidR="00000000" w:rsidRDefault="00000000">
      <w:pPr>
        <w:pStyle w:val="Heading2"/>
        <w:divId w:val="1916891674"/>
        <w:rPr>
          <w:rFonts w:eastAsia="Times New Roman"/>
        </w:rPr>
      </w:pPr>
      <w:r>
        <w:rPr>
          <w:rFonts w:eastAsia="Times New Roman"/>
        </w:rPr>
        <w:t>Planning for adverse weather</w:t>
      </w:r>
    </w:p>
    <w:p w14:paraId="22C93BDF" w14:textId="77777777" w:rsidR="00000000" w:rsidRDefault="00000000">
      <w:pPr>
        <w:pStyle w:val="NormalWeb"/>
        <w:divId w:val="1916891674"/>
      </w:pPr>
      <w:r>
        <w:t xml:space="preserve">All organisations should read the </w:t>
      </w:r>
      <w:hyperlink r:id="rId22" w:history="1">
        <w:r>
          <w:rPr>
            <w:rStyle w:val="Hyperlink"/>
          </w:rPr>
          <w:t>Adverse Weather and Health Plan</w:t>
        </w:r>
      </w:hyperlink>
      <w:r>
        <w:t>. This is important if you provide health and social care. The plan explains what you should do before and while a heat health alert is in place.</w:t>
      </w:r>
    </w:p>
    <w:p w14:paraId="1D0A937C" w14:textId="77777777" w:rsidR="00000000" w:rsidRDefault="00000000">
      <w:pPr>
        <w:pStyle w:val="NormalWeb"/>
        <w:divId w:val="1916891674"/>
      </w:pPr>
      <w:r>
        <w:t xml:space="preserve">To support local planning, please check the guidance on </w:t>
      </w:r>
      <w:hyperlink r:id="rId23" w:history="1">
        <w:r>
          <w:rPr>
            <w:rStyle w:val="Hyperlink"/>
          </w:rPr>
          <w:t>local resilience forums.</w:t>
        </w:r>
      </w:hyperlink>
    </w:p>
    <w:p w14:paraId="39C8BBBD" w14:textId="77777777" w:rsidR="00000000" w:rsidRDefault="00000000">
      <w:pPr>
        <w:pStyle w:val="Heading2"/>
        <w:divId w:val="1916891674"/>
        <w:rPr>
          <w:rFonts w:eastAsia="Times New Roman"/>
        </w:rPr>
      </w:pPr>
      <w:r>
        <w:rPr>
          <w:rFonts w:eastAsia="Times New Roman"/>
        </w:rPr>
        <w:t>About heat health alerts</w:t>
      </w:r>
    </w:p>
    <w:p w14:paraId="64D70445" w14:textId="77777777" w:rsidR="00000000" w:rsidRDefault="00000000">
      <w:pPr>
        <w:pStyle w:val="NormalWeb"/>
        <w:divId w:val="1916891674"/>
      </w:pPr>
      <w:r>
        <w:t>Chief executives of the following organisations in England receive heat health alerts:</w:t>
      </w:r>
    </w:p>
    <w:p w14:paraId="27CBB744" w14:textId="77777777" w:rsidR="00000000" w:rsidRDefault="00000000">
      <w:pPr>
        <w:divId w:val="1916891674"/>
        <w:rPr>
          <w:rFonts w:eastAsia="Times New Roman"/>
        </w:rPr>
      </w:pPr>
      <w:r>
        <w:rPr>
          <w:rFonts w:eastAsia="Times New Roman" w:hAnsi="Symbol"/>
        </w:rPr>
        <w:t></w:t>
      </w:r>
      <w:r>
        <w:rPr>
          <w:rFonts w:eastAsia="Times New Roman"/>
        </w:rPr>
        <w:t xml:space="preserve">  health trust providers of NHS commissioned care</w:t>
      </w:r>
    </w:p>
    <w:p w14:paraId="4D426A45" w14:textId="77777777" w:rsidR="00000000" w:rsidRDefault="00000000">
      <w:pPr>
        <w:divId w:val="1916891674"/>
        <w:rPr>
          <w:rFonts w:eastAsia="Times New Roman"/>
        </w:rPr>
      </w:pPr>
      <w:r>
        <w:rPr>
          <w:rFonts w:eastAsia="Times New Roman" w:hAnsi="Symbol"/>
        </w:rPr>
        <w:t></w:t>
      </w:r>
      <w:r>
        <w:rPr>
          <w:rFonts w:eastAsia="Times New Roman"/>
        </w:rPr>
        <w:t xml:space="preserve">  local authorities</w:t>
      </w:r>
    </w:p>
    <w:p w14:paraId="07F3A63F" w14:textId="77777777" w:rsidR="00000000" w:rsidRDefault="00000000">
      <w:pPr>
        <w:divId w:val="1916891674"/>
        <w:rPr>
          <w:rFonts w:eastAsia="Times New Roman"/>
        </w:rPr>
      </w:pPr>
      <w:r>
        <w:rPr>
          <w:rFonts w:eastAsia="Times New Roman" w:hAnsi="Symbol"/>
        </w:rPr>
        <w:t></w:t>
      </w:r>
      <w:r>
        <w:rPr>
          <w:rFonts w:eastAsia="Times New Roman"/>
        </w:rPr>
        <w:t xml:space="preserve">  social care organisations</w:t>
      </w:r>
    </w:p>
    <w:p w14:paraId="293D75D0" w14:textId="77777777" w:rsidR="00000000" w:rsidRDefault="00000000">
      <w:pPr>
        <w:pStyle w:val="NormalWeb"/>
        <w:divId w:val="1916891674"/>
      </w:pPr>
      <w:r>
        <w:t>The Heat-Health Alert Service in England runs from 1 June to 30 September each year, in partnership with the Met Office. This is the period when high temperatures are likely to occur.</w:t>
      </w:r>
    </w:p>
    <w:p w14:paraId="35DD6582" w14:textId="77777777" w:rsidR="00000000" w:rsidRDefault="00000000">
      <w:pPr>
        <w:pStyle w:val="NormalWeb"/>
        <w:divId w:val="1916891674"/>
      </w:pPr>
      <w:r>
        <w:t>If we observe high temperatures outside of this period, we will issue an extraordinary heat health alert. If this happens, stakeholders should take the usual public health actions.</w:t>
      </w:r>
    </w:p>
    <w:p w14:paraId="098C07DE" w14:textId="77777777" w:rsidR="00000000" w:rsidRDefault="00000000">
      <w:pPr>
        <w:pStyle w:val="NormalWeb"/>
        <w:divId w:val="1916891674"/>
      </w:pPr>
      <w:r>
        <w:t xml:space="preserve">You can share this email with your organisation or sign up to receive alerts using our </w:t>
      </w:r>
      <w:hyperlink r:id="rId24" w:history="1">
        <w:r>
          <w:rPr>
            <w:rStyle w:val="Hyperlink"/>
          </w:rPr>
          <w:t>registration form</w:t>
        </w:r>
      </w:hyperlink>
      <w:r>
        <w:t xml:space="preserve">. We have a separate form if you would like to </w:t>
      </w:r>
      <w:hyperlink r:id="rId25" w:history="1">
        <w:r>
          <w:rPr>
            <w:rStyle w:val="Hyperlink"/>
          </w:rPr>
          <w:t>update your registration details.</w:t>
        </w:r>
      </w:hyperlink>
      <w:r>
        <w:t xml:space="preserve"> </w:t>
      </w:r>
    </w:p>
    <w:p w14:paraId="5C1688BE" w14:textId="77777777" w:rsidR="00000000" w:rsidRDefault="00000000">
      <w:pPr>
        <w:pStyle w:val="NormalWeb"/>
        <w:divId w:val="1916891674"/>
      </w:pPr>
      <w:r>
        <w:t xml:space="preserve">Please let us know if you have a </w:t>
      </w:r>
      <w:hyperlink r:id="rId26" w:history="1">
        <w:r>
          <w:rPr>
            <w:rStyle w:val="Hyperlink"/>
          </w:rPr>
          <w:t>question or have a problem with your subscription</w:t>
        </w:r>
      </w:hyperlink>
      <w:r>
        <w:t xml:space="preserve">. You can also </w:t>
      </w:r>
      <w:hyperlink r:id="rId27" w:history="1">
        <w:r>
          <w:rPr>
            <w:rStyle w:val="Hyperlink"/>
          </w:rPr>
          <w:t>unsubscribe</w:t>
        </w:r>
      </w:hyperlink>
      <w:r>
        <w:t xml:space="preserve"> from this service.</w:t>
      </w:r>
    </w:p>
    <w:p w14:paraId="6788CA98" w14:textId="77777777" w:rsidR="00000000" w:rsidRDefault="00000000">
      <w:pPr>
        <w:pStyle w:val="NormalWeb"/>
        <w:divId w:val="1916891674"/>
      </w:pPr>
      <w:r>
        <w:lastRenderedPageBreak/>
        <w:t>UKHSA and the Met Office use the Risk Matrix to assign a risk score for each alert. Users can refer the alert’s risk score to the matrix to understand the severity of the alert and likelihood of its impact.</w:t>
      </w:r>
    </w:p>
    <w:p w14:paraId="05D126CD" w14:textId="77777777" w:rsidR="00000000" w:rsidRDefault="00000000">
      <w:pPr>
        <w:divId w:val="1916891674"/>
        <w:rPr>
          <w:rFonts w:eastAsia="Times New Roman"/>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2"/>
        <w:gridCol w:w="1802"/>
        <w:gridCol w:w="1802"/>
        <w:gridCol w:w="1802"/>
        <w:gridCol w:w="1802"/>
      </w:tblGrid>
      <w:tr w:rsidR="00000000" w14:paraId="702D8E62" w14:textId="77777777">
        <w:trPr>
          <w:divId w:val="1916891674"/>
        </w:trPr>
        <w:tc>
          <w:tcPr>
            <w:tcW w:w="1000" w:type="pct"/>
            <w:tcBorders>
              <w:top w:val="single" w:sz="6" w:space="0" w:color="000000"/>
              <w:left w:val="single" w:sz="6" w:space="0" w:color="000000"/>
              <w:bottom w:val="single" w:sz="6" w:space="0" w:color="000000"/>
              <w:right w:val="single" w:sz="6" w:space="0" w:color="000000"/>
            </w:tcBorders>
            <w:vAlign w:val="center"/>
            <w:hideMark/>
          </w:tcPr>
          <w:p w14:paraId="43CA4A6F" w14:textId="77777777" w:rsidR="00000000" w:rsidRDefault="00000000">
            <w:pPr>
              <w:jc w:val="center"/>
              <w:rPr>
                <w:rFonts w:eastAsia="Times New Roman"/>
              </w:rPr>
            </w:pP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4296547F" w14:textId="77777777" w:rsidR="00000000" w:rsidRDefault="00000000">
            <w:pPr>
              <w:jc w:val="center"/>
              <w:rPr>
                <w:rFonts w:eastAsia="Times New Roman"/>
              </w:rPr>
            </w:pPr>
            <w:r>
              <w:rPr>
                <w:rFonts w:eastAsia="Times New Roman"/>
              </w:rPr>
              <w:br/>
              <w:t>Very low impacts</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1C34739D" w14:textId="77777777" w:rsidR="00000000" w:rsidRDefault="00000000">
            <w:pPr>
              <w:jc w:val="center"/>
              <w:rPr>
                <w:rFonts w:eastAsia="Times New Roman"/>
              </w:rPr>
            </w:pPr>
            <w:r>
              <w:rPr>
                <w:rFonts w:eastAsia="Times New Roman"/>
              </w:rPr>
              <w:br/>
              <w:t>Low impacts</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234421F5" w14:textId="77777777" w:rsidR="00000000" w:rsidRDefault="00000000">
            <w:pPr>
              <w:jc w:val="center"/>
              <w:rPr>
                <w:rFonts w:eastAsia="Times New Roman"/>
              </w:rPr>
            </w:pPr>
            <w:r>
              <w:rPr>
                <w:rFonts w:eastAsia="Times New Roman"/>
              </w:rPr>
              <w:br/>
              <w:t>Medium impacts</w:t>
            </w:r>
          </w:p>
        </w:tc>
        <w:tc>
          <w:tcPr>
            <w:tcW w:w="1000" w:type="pct"/>
            <w:tcBorders>
              <w:top w:val="single" w:sz="6" w:space="0" w:color="000000"/>
              <w:left w:val="single" w:sz="6" w:space="0" w:color="000000"/>
              <w:bottom w:val="single" w:sz="6" w:space="0" w:color="000000"/>
              <w:right w:val="single" w:sz="6" w:space="0" w:color="000000"/>
            </w:tcBorders>
            <w:vAlign w:val="center"/>
            <w:hideMark/>
          </w:tcPr>
          <w:p w14:paraId="07D77844" w14:textId="77777777" w:rsidR="00000000" w:rsidRDefault="00000000">
            <w:pPr>
              <w:jc w:val="center"/>
              <w:rPr>
                <w:rFonts w:eastAsia="Times New Roman"/>
              </w:rPr>
            </w:pPr>
            <w:r>
              <w:rPr>
                <w:rFonts w:eastAsia="Times New Roman"/>
              </w:rPr>
              <w:br/>
              <w:t>High impacts</w:t>
            </w:r>
          </w:p>
        </w:tc>
      </w:tr>
      <w:tr w:rsidR="00000000" w14:paraId="1C62C5A4" w14:textId="77777777">
        <w:trPr>
          <w:divId w:val="191689167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BC42F5" w14:textId="77777777" w:rsidR="00000000" w:rsidRDefault="00000000">
            <w:pPr>
              <w:jc w:val="center"/>
              <w:rPr>
                <w:rFonts w:eastAsia="Times New Roman"/>
              </w:rPr>
            </w:pPr>
            <w:r>
              <w:rPr>
                <w:rFonts w:eastAsia="Times New Roman"/>
              </w:rPr>
              <w:t>High likelihood</w:t>
            </w:r>
          </w:p>
        </w:tc>
        <w:tc>
          <w:tcPr>
            <w:tcW w:w="0" w:type="auto"/>
            <w:tcBorders>
              <w:top w:val="single" w:sz="6" w:space="0" w:color="000000"/>
              <w:left w:val="single" w:sz="6" w:space="0" w:color="000000"/>
              <w:bottom w:val="single" w:sz="6" w:space="0" w:color="000000"/>
              <w:right w:val="single" w:sz="6" w:space="0" w:color="000000"/>
            </w:tcBorders>
            <w:shd w:val="clear" w:color="auto" w:fill="00703C"/>
            <w:vAlign w:val="center"/>
            <w:hideMark/>
          </w:tcPr>
          <w:p w14:paraId="3761867F" w14:textId="77777777" w:rsidR="00000000" w:rsidRDefault="00000000">
            <w:pPr>
              <w:jc w:val="center"/>
              <w:rPr>
                <w:rFonts w:eastAsia="Times New Roman"/>
                <w:color w:val="FFFFFF"/>
              </w:rPr>
            </w:pPr>
            <w:r>
              <w:rPr>
                <w:rFonts w:eastAsia="Times New Roman"/>
                <w:color w:val="FFFFFF"/>
              </w:rPr>
              <w:t xml:space="preserve">4 </w:t>
            </w:r>
            <w:r>
              <w:rPr>
                <w:rFonts w:eastAsia="Times New Roman"/>
                <w:color w:val="FFFFFF"/>
              </w:rPr>
              <w:br/>
              <w:t>(green)</w:t>
            </w:r>
          </w:p>
        </w:tc>
        <w:tc>
          <w:tcPr>
            <w:tcW w:w="0" w:type="auto"/>
            <w:tcBorders>
              <w:top w:val="single" w:sz="6" w:space="0" w:color="000000"/>
              <w:left w:val="single" w:sz="6" w:space="0" w:color="000000"/>
              <w:bottom w:val="single" w:sz="6" w:space="0" w:color="000000"/>
              <w:right w:val="single" w:sz="6" w:space="0" w:color="000000"/>
            </w:tcBorders>
            <w:shd w:val="clear" w:color="auto" w:fill="F1BF0D"/>
            <w:vAlign w:val="center"/>
            <w:hideMark/>
          </w:tcPr>
          <w:p w14:paraId="337199A5" w14:textId="77777777" w:rsidR="00000000" w:rsidRDefault="00000000">
            <w:pPr>
              <w:jc w:val="center"/>
              <w:rPr>
                <w:rFonts w:eastAsia="Times New Roman"/>
              </w:rPr>
            </w:pPr>
            <w:r>
              <w:rPr>
                <w:rFonts w:eastAsia="Times New Roman"/>
              </w:rPr>
              <w:t xml:space="preserve">8 </w:t>
            </w:r>
            <w:r>
              <w:rPr>
                <w:rFonts w:eastAsia="Times New Roman"/>
              </w:rPr>
              <w:br/>
              <w:t>(yellow)</w:t>
            </w:r>
          </w:p>
        </w:tc>
        <w:tc>
          <w:tcPr>
            <w:tcW w:w="0" w:type="auto"/>
            <w:tcBorders>
              <w:top w:val="single" w:sz="6" w:space="0" w:color="000000"/>
              <w:left w:val="single" w:sz="6" w:space="0" w:color="000000"/>
              <w:bottom w:val="single" w:sz="6" w:space="0" w:color="000000"/>
              <w:right w:val="single" w:sz="6" w:space="0" w:color="000000"/>
            </w:tcBorders>
            <w:shd w:val="clear" w:color="auto" w:fill="F47738"/>
            <w:vAlign w:val="center"/>
            <w:hideMark/>
          </w:tcPr>
          <w:p w14:paraId="28200AD0" w14:textId="77777777" w:rsidR="00000000" w:rsidRDefault="00000000">
            <w:pPr>
              <w:jc w:val="center"/>
              <w:rPr>
                <w:rFonts w:eastAsia="Times New Roman"/>
              </w:rPr>
            </w:pPr>
            <w:r>
              <w:rPr>
                <w:rFonts w:eastAsia="Times New Roman"/>
              </w:rPr>
              <w:t xml:space="preserve">13 </w:t>
            </w:r>
            <w:r>
              <w:rPr>
                <w:rFonts w:eastAsia="Times New Roman"/>
              </w:rPr>
              <w:br/>
              <w:t xml:space="preserve">(amber) </w:t>
            </w:r>
          </w:p>
        </w:tc>
        <w:tc>
          <w:tcPr>
            <w:tcW w:w="0" w:type="auto"/>
            <w:tcBorders>
              <w:top w:val="single" w:sz="6" w:space="0" w:color="000000"/>
              <w:left w:val="single" w:sz="6" w:space="0" w:color="000000"/>
              <w:bottom w:val="single" w:sz="6" w:space="0" w:color="000000"/>
              <w:right w:val="single" w:sz="6" w:space="0" w:color="000000"/>
            </w:tcBorders>
            <w:shd w:val="clear" w:color="auto" w:fill="D4351C"/>
            <w:vAlign w:val="center"/>
            <w:hideMark/>
          </w:tcPr>
          <w:p w14:paraId="704B860E" w14:textId="77777777" w:rsidR="00000000" w:rsidRDefault="00000000">
            <w:pPr>
              <w:jc w:val="center"/>
              <w:rPr>
                <w:rFonts w:eastAsia="Times New Roman"/>
                <w:color w:val="FFFFFF"/>
              </w:rPr>
            </w:pPr>
            <w:r>
              <w:rPr>
                <w:rFonts w:eastAsia="Times New Roman"/>
                <w:color w:val="FFFFFF"/>
              </w:rPr>
              <w:t xml:space="preserve">16 </w:t>
            </w:r>
            <w:r>
              <w:rPr>
                <w:rFonts w:eastAsia="Times New Roman"/>
                <w:color w:val="FFFFFF"/>
              </w:rPr>
              <w:br/>
              <w:t>(red)</w:t>
            </w:r>
          </w:p>
        </w:tc>
      </w:tr>
      <w:tr w:rsidR="00000000" w14:paraId="697A1DCB" w14:textId="77777777">
        <w:trPr>
          <w:divId w:val="191689167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44F67A" w14:textId="77777777" w:rsidR="00000000" w:rsidRDefault="00000000">
            <w:pPr>
              <w:jc w:val="center"/>
              <w:rPr>
                <w:rFonts w:eastAsia="Times New Roman"/>
              </w:rPr>
            </w:pPr>
            <w:r>
              <w:rPr>
                <w:rFonts w:eastAsia="Times New Roman"/>
              </w:rPr>
              <w:t>Medium likelihood</w:t>
            </w:r>
          </w:p>
        </w:tc>
        <w:tc>
          <w:tcPr>
            <w:tcW w:w="0" w:type="auto"/>
            <w:tcBorders>
              <w:top w:val="single" w:sz="6" w:space="0" w:color="000000"/>
              <w:left w:val="single" w:sz="6" w:space="0" w:color="000000"/>
              <w:bottom w:val="single" w:sz="6" w:space="0" w:color="000000"/>
              <w:right w:val="single" w:sz="6" w:space="0" w:color="000000"/>
            </w:tcBorders>
            <w:shd w:val="clear" w:color="auto" w:fill="00703C"/>
            <w:vAlign w:val="center"/>
            <w:hideMark/>
          </w:tcPr>
          <w:p w14:paraId="34B06E41" w14:textId="77777777" w:rsidR="00000000" w:rsidRDefault="00000000">
            <w:pPr>
              <w:jc w:val="center"/>
              <w:rPr>
                <w:rFonts w:eastAsia="Times New Roman"/>
                <w:color w:val="FFFFFF"/>
              </w:rPr>
            </w:pPr>
            <w:r>
              <w:rPr>
                <w:rFonts w:eastAsia="Times New Roman"/>
                <w:color w:val="FFFFFF"/>
              </w:rPr>
              <w:t xml:space="preserve">3 </w:t>
            </w:r>
            <w:r>
              <w:rPr>
                <w:rFonts w:eastAsia="Times New Roman"/>
                <w:color w:val="FFFFFF"/>
              </w:rPr>
              <w:br/>
              <w:t>(green)</w:t>
            </w:r>
          </w:p>
        </w:tc>
        <w:tc>
          <w:tcPr>
            <w:tcW w:w="0" w:type="auto"/>
            <w:tcBorders>
              <w:top w:val="single" w:sz="6" w:space="0" w:color="000000"/>
              <w:left w:val="single" w:sz="6" w:space="0" w:color="000000"/>
              <w:bottom w:val="single" w:sz="6" w:space="0" w:color="000000"/>
              <w:right w:val="single" w:sz="6" w:space="0" w:color="000000"/>
            </w:tcBorders>
            <w:shd w:val="clear" w:color="auto" w:fill="F1BF0D"/>
            <w:vAlign w:val="center"/>
            <w:hideMark/>
          </w:tcPr>
          <w:p w14:paraId="6F827579" w14:textId="77777777" w:rsidR="00000000" w:rsidRDefault="00000000">
            <w:pPr>
              <w:jc w:val="center"/>
              <w:rPr>
                <w:rFonts w:eastAsia="Times New Roman"/>
              </w:rPr>
            </w:pPr>
            <w:r>
              <w:rPr>
                <w:rFonts w:eastAsia="Times New Roman"/>
              </w:rPr>
              <w:t xml:space="preserve">7 </w:t>
            </w:r>
            <w:r>
              <w:rPr>
                <w:rFonts w:eastAsia="Times New Roman"/>
              </w:rPr>
              <w:br/>
              <w:t>(yellow)</w:t>
            </w:r>
          </w:p>
        </w:tc>
        <w:tc>
          <w:tcPr>
            <w:tcW w:w="0" w:type="auto"/>
            <w:tcBorders>
              <w:top w:val="single" w:sz="6" w:space="0" w:color="000000"/>
              <w:left w:val="single" w:sz="6" w:space="0" w:color="000000"/>
              <w:bottom w:val="single" w:sz="6" w:space="0" w:color="000000"/>
              <w:right w:val="single" w:sz="6" w:space="0" w:color="000000"/>
            </w:tcBorders>
            <w:shd w:val="clear" w:color="auto" w:fill="F47738"/>
            <w:vAlign w:val="center"/>
            <w:hideMark/>
          </w:tcPr>
          <w:p w14:paraId="7AE19632" w14:textId="77777777" w:rsidR="00000000" w:rsidRDefault="00000000">
            <w:pPr>
              <w:jc w:val="center"/>
              <w:rPr>
                <w:rFonts w:eastAsia="Times New Roman"/>
              </w:rPr>
            </w:pPr>
            <w:r>
              <w:rPr>
                <w:rFonts w:eastAsia="Times New Roman"/>
              </w:rPr>
              <w:t xml:space="preserve">12 </w:t>
            </w:r>
            <w:r>
              <w:rPr>
                <w:rFonts w:eastAsia="Times New Roman"/>
              </w:rPr>
              <w:br/>
              <w:t>(amber)</w:t>
            </w:r>
          </w:p>
        </w:tc>
        <w:tc>
          <w:tcPr>
            <w:tcW w:w="0" w:type="auto"/>
            <w:tcBorders>
              <w:top w:val="single" w:sz="6" w:space="0" w:color="000000"/>
              <w:left w:val="single" w:sz="6" w:space="0" w:color="000000"/>
              <w:bottom w:val="single" w:sz="6" w:space="0" w:color="000000"/>
              <w:right w:val="single" w:sz="6" w:space="0" w:color="000000"/>
            </w:tcBorders>
            <w:shd w:val="clear" w:color="auto" w:fill="F47738"/>
            <w:vAlign w:val="center"/>
            <w:hideMark/>
          </w:tcPr>
          <w:p w14:paraId="3B4BE417" w14:textId="77777777" w:rsidR="00000000" w:rsidRDefault="00000000">
            <w:pPr>
              <w:jc w:val="center"/>
              <w:rPr>
                <w:rFonts w:eastAsia="Times New Roman"/>
              </w:rPr>
            </w:pPr>
            <w:r>
              <w:rPr>
                <w:rFonts w:eastAsia="Times New Roman"/>
              </w:rPr>
              <w:t>15</w:t>
            </w:r>
            <w:r>
              <w:rPr>
                <w:rFonts w:eastAsia="Times New Roman"/>
              </w:rPr>
              <w:br/>
              <w:t>(amber)</w:t>
            </w:r>
          </w:p>
        </w:tc>
      </w:tr>
      <w:tr w:rsidR="00000000" w14:paraId="624AC82F" w14:textId="77777777">
        <w:trPr>
          <w:divId w:val="191689167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D5F3FA" w14:textId="77777777" w:rsidR="00000000" w:rsidRDefault="00000000">
            <w:pPr>
              <w:jc w:val="center"/>
              <w:rPr>
                <w:rFonts w:eastAsia="Times New Roman"/>
              </w:rPr>
            </w:pPr>
            <w:r>
              <w:rPr>
                <w:rFonts w:eastAsia="Times New Roman"/>
              </w:rPr>
              <w:t>Low likelihood</w:t>
            </w:r>
          </w:p>
        </w:tc>
        <w:tc>
          <w:tcPr>
            <w:tcW w:w="0" w:type="auto"/>
            <w:tcBorders>
              <w:top w:val="single" w:sz="6" w:space="0" w:color="000000"/>
              <w:left w:val="single" w:sz="6" w:space="0" w:color="000000"/>
              <w:bottom w:val="single" w:sz="6" w:space="0" w:color="000000"/>
              <w:right w:val="single" w:sz="6" w:space="0" w:color="000000"/>
            </w:tcBorders>
            <w:shd w:val="clear" w:color="auto" w:fill="00703C"/>
            <w:vAlign w:val="center"/>
            <w:hideMark/>
          </w:tcPr>
          <w:p w14:paraId="06FD81A2" w14:textId="77777777" w:rsidR="00000000" w:rsidRDefault="00000000">
            <w:pPr>
              <w:jc w:val="center"/>
              <w:rPr>
                <w:rFonts w:eastAsia="Times New Roman"/>
                <w:color w:val="FFFFFF"/>
              </w:rPr>
            </w:pPr>
            <w:r>
              <w:rPr>
                <w:rFonts w:eastAsia="Times New Roman"/>
                <w:color w:val="FFFFFF"/>
              </w:rPr>
              <w:t xml:space="preserve">2 </w:t>
            </w:r>
            <w:r>
              <w:rPr>
                <w:rFonts w:eastAsia="Times New Roman"/>
                <w:color w:val="FFFFFF"/>
              </w:rPr>
              <w:br/>
              <w:t>(green)</w:t>
            </w:r>
          </w:p>
        </w:tc>
        <w:tc>
          <w:tcPr>
            <w:tcW w:w="0" w:type="auto"/>
            <w:tcBorders>
              <w:top w:val="single" w:sz="6" w:space="0" w:color="000000"/>
              <w:left w:val="single" w:sz="6" w:space="0" w:color="000000"/>
              <w:bottom w:val="single" w:sz="6" w:space="0" w:color="000000"/>
              <w:right w:val="single" w:sz="6" w:space="0" w:color="000000"/>
            </w:tcBorders>
            <w:shd w:val="clear" w:color="auto" w:fill="00703C"/>
            <w:vAlign w:val="center"/>
            <w:hideMark/>
          </w:tcPr>
          <w:p w14:paraId="4662E617" w14:textId="77777777" w:rsidR="00000000" w:rsidRDefault="00000000">
            <w:pPr>
              <w:jc w:val="center"/>
              <w:rPr>
                <w:rFonts w:eastAsia="Times New Roman"/>
                <w:color w:val="FFFFFF"/>
              </w:rPr>
            </w:pPr>
            <w:r>
              <w:rPr>
                <w:rFonts w:eastAsia="Times New Roman"/>
                <w:color w:val="FFFFFF"/>
              </w:rPr>
              <w:t xml:space="preserve">6 </w:t>
            </w:r>
            <w:r>
              <w:rPr>
                <w:rFonts w:eastAsia="Times New Roman"/>
                <w:color w:val="FFFFFF"/>
              </w:rPr>
              <w:br/>
              <w:t>(green)</w:t>
            </w:r>
          </w:p>
        </w:tc>
        <w:tc>
          <w:tcPr>
            <w:tcW w:w="0" w:type="auto"/>
            <w:tcBorders>
              <w:top w:val="single" w:sz="6" w:space="0" w:color="000000"/>
              <w:left w:val="single" w:sz="6" w:space="0" w:color="000000"/>
              <w:bottom w:val="single" w:sz="6" w:space="0" w:color="000000"/>
              <w:right w:val="single" w:sz="6" w:space="0" w:color="000000"/>
            </w:tcBorders>
            <w:shd w:val="clear" w:color="auto" w:fill="F1BF0D"/>
            <w:vAlign w:val="center"/>
            <w:hideMark/>
          </w:tcPr>
          <w:p w14:paraId="5B21C9B5" w14:textId="77777777" w:rsidR="00000000" w:rsidRDefault="00000000">
            <w:pPr>
              <w:jc w:val="center"/>
              <w:rPr>
                <w:rFonts w:eastAsia="Times New Roman"/>
              </w:rPr>
            </w:pPr>
            <w:r>
              <w:rPr>
                <w:rFonts w:eastAsia="Times New Roman"/>
              </w:rPr>
              <w:t xml:space="preserve">10 </w:t>
            </w:r>
            <w:r>
              <w:rPr>
                <w:rFonts w:eastAsia="Times New Roman"/>
              </w:rPr>
              <w:br/>
              <w:t>(yellow)</w:t>
            </w:r>
          </w:p>
        </w:tc>
        <w:tc>
          <w:tcPr>
            <w:tcW w:w="0" w:type="auto"/>
            <w:tcBorders>
              <w:top w:val="single" w:sz="6" w:space="0" w:color="000000"/>
              <w:left w:val="single" w:sz="6" w:space="0" w:color="000000"/>
              <w:bottom w:val="single" w:sz="6" w:space="0" w:color="000000"/>
              <w:right w:val="single" w:sz="6" w:space="0" w:color="000000"/>
            </w:tcBorders>
            <w:shd w:val="clear" w:color="auto" w:fill="F47738"/>
            <w:vAlign w:val="center"/>
            <w:hideMark/>
          </w:tcPr>
          <w:p w14:paraId="3A441E4A" w14:textId="77777777" w:rsidR="00000000" w:rsidRDefault="00000000">
            <w:pPr>
              <w:jc w:val="center"/>
              <w:rPr>
                <w:rFonts w:eastAsia="Times New Roman"/>
              </w:rPr>
            </w:pPr>
            <w:r>
              <w:rPr>
                <w:rFonts w:eastAsia="Times New Roman"/>
              </w:rPr>
              <w:t xml:space="preserve">14 </w:t>
            </w:r>
            <w:r>
              <w:rPr>
                <w:rFonts w:eastAsia="Times New Roman"/>
              </w:rPr>
              <w:br/>
              <w:t>(amber)</w:t>
            </w:r>
          </w:p>
        </w:tc>
      </w:tr>
      <w:tr w:rsidR="00000000" w14:paraId="4B6E2AA5" w14:textId="77777777">
        <w:trPr>
          <w:divId w:val="191689167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EEA1F7" w14:textId="77777777" w:rsidR="00000000" w:rsidRDefault="00000000">
            <w:pPr>
              <w:jc w:val="center"/>
              <w:rPr>
                <w:rFonts w:eastAsia="Times New Roman"/>
              </w:rPr>
            </w:pPr>
            <w:r>
              <w:rPr>
                <w:rFonts w:eastAsia="Times New Roman"/>
              </w:rPr>
              <w:t>Very low likelihood</w:t>
            </w:r>
          </w:p>
        </w:tc>
        <w:tc>
          <w:tcPr>
            <w:tcW w:w="0" w:type="auto"/>
            <w:tcBorders>
              <w:top w:val="single" w:sz="6" w:space="0" w:color="000000"/>
              <w:left w:val="single" w:sz="6" w:space="0" w:color="000000"/>
              <w:bottom w:val="single" w:sz="6" w:space="0" w:color="000000"/>
              <w:right w:val="single" w:sz="6" w:space="0" w:color="000000"/>
            </w:tcBorders>
            <w:shd w:val="clear" w:color="auto" w:fill="00703C"/>
            <w:vAlign w:val="center"/>
            <w:hideMark/>
          </w:tcPr>
          <w:p w14:paraId="02C87A58" w14:textId="77777777" w:rsidR="00000000" w:rsidRDefault="00000000">
            <w:pPr>
              <w:jc w:val="center"/>
              <w:rPr>
                <w:rFonts w:eastAsia="Times New Roman"/>
                <w:color w:val="FFFFFF"/>
              </w:rPr>
            </w:pPr>
            <w:r>
              <w:rPr>
                <w:rFonts w:eastAsia="Times New Roman"/>
                <w:color w:val="FFFFFF"/>
              </w:rPr>
              <w:t xml:space="preserve">1 </w:t>
            </w:r>
            <w:r>
              <w:rPr>
                <w:rFonts w:eastAsia="Times New Roman"/>
                <w:color w:val="FFFFFF"/>
              </w:rPr>
              <w:br/>
              <w:t>(green)</w:t>
            </w:r>
          </w:p>
        </w:tc>
        <w:tc>
          <w:tcPr>
            <w:tcW w:w="0" w:type="auto"/>
            <w:tcBorders>
              <w:top w:val="single" w:sz="6" w:space="0" w:color="000000"/>
              <w:left w:val="single" w:sz="6" w:space="0" w:color="000000"/>
              <w:bottom w:val="single" w:sz="6" w:space="0" w:color="000000"/>
              <w:right w:val="single" w:sz="6" w:space="0" w:color="000000"/>
            </w:tcBorders>
            <w:shd w:val="clear" w:color="auto" w:fill="00703C"/>
            <w:vAlign w:val="center"/>
            <w:hideMark/>
          </w:tcPr>
          <w:p w14:paraId="600A2DE0" w14:textId="77777777" w:rsidR="00000000" w:rsidRDefault="00000000">
            <w:pPr>
              <w:jc w:val="center"/>
              <w:rPr>
                <w:rFonts w:eastAsia="Times New Roman"/>
                <w:color w:val="FFFFFF"/>
              </w:rPr>
            </w:pPr>
            <w:r>
              <w:rPr>
                <w:rFonts w:eastAsia="Times New Roman"/>
                <w:color w:val="FFFFFF"/>
              </w:rPr>
              <w:t xml:space="preserve">5 </w:t>
            </w:r>
            <w:r>
              <w:rPr>
                <w:rFonts w:eastAsia="Times New Roman"/>
                <w:color w:val="FFFFFF"/>
              </w:rPr>
              <w:br/>
              <w:t>(green)</w:t>
            </w:r>
          </w:p>
        </w:tc>
        <w:tc>
          <w:tcPr>
            <w:tcW w:w="0" w:type="auto"/>
            <w:tcBorders>
              <w:top w:val="single" w:sz="6" w:space="0" w:color="000000"/>
              <w:left w:val="single" w:sz="6" w:space="0" w:color="000000"/>
              <w:bottom w:val="single" w:sz="6" w:space="0" w:color="000000"/>
              <w:right w:val="single" w:sz="6" w:space="0" w:color="000000"/>
            </w:tcBorders>
            <w:shd w:val="clear" w:color="auto" w:fill="F1BF0D"/>
            <w:vAlign w:val="center"/>
            <w:hideMark/>
          </w:tcPr>
          <w:p w14:paraId="018ED527" w14:textId="77777777" w:rsidR="00000000" w:rsidRDefault="00000000">
            <w:pPr>
              <w:jc w:val="center"/>
              <w:rPr>
                <w:rFonts w:eastAsia="Times New Roman"/>
              </w:rPr>
            </w:pPr>
            <w:r>
              <w:rPr>
                <w:rFonts w:eastAsia="Times New Roman"/>
              </w:rPr>
              <w:t xml:space="preserve">9 </w:t>
            </w:r>
            <w:r>
              <w:rPr>
                <w:rFonts w:eastAsia="Times New Roman"/>
              </w:rPr>
              <w:br/>
              <w:t>(yellow)</w:t>
            </w:r>
          </w:p>
        </w:tc>
        <w:tc>
          <w:tcPr>
            <w:tcW w:w="0" w:type="auto"/>
            <w:tcBorders>
              <w:top w:val="single" w:sz="6" w:space="0" w:color="000000"/>
              <w:left w:val="single" w:sz="6" w:space="0" w:color="000000"/>
              <w:bottom w:val="single" w:sz="6" w:space="0" w:color="000000"/>
              <w:right w:val="single" w:sz="6" w:space="0" w:color="000000"/>
            </w:tcBorders>
            <w:shd w:val="clear" w:color="auto" w:fill="F1BF0D"/>
            <w:vAlign w:val="center"/>
            <w:hideMark/>
          </w:tcPr>
          <w:p w14:paraId="5F93FD6D" w14:textId="77777777" w:rsidR="00000000" w:rsidRDefault="00000000">
            <w:pPr>
              <w:jc w:val="center"/>
              <w:rPr>
                <w:rFonts w:eastAsia="Times New Roman"/>
              </w:rPr>
            </w:pPr>
            <w:r>
              <w:rPr>
                <w:rFonts w:eastAsia="Times New Roman"/>
              </w:rPr>
              <w:t xml:space="preserve">11 </w:t>
            </w:r>
            <w:r>
              <w:rPr>
                <w:rFonts w:eastAsia="Times New Roman"/>
              </w:rPr>
              <w:br/>
              <w:t>(yellow)</w:t>
            </w:r>
          </w:p>
        </w:tc>
      </w:tr>
    </w:tbl>
    <w:p w14:paraId="5C66DE65" w14:textId="77777777" w:rsidR="00000000" w:rsidRDefault="00000000">
      <w:pPr>
        <w:divId w:val="1916891674"/>
        <w:rPr>
          <w:rFonts w:eastAsia="Times New Roman"/>
        </w:rPr>
      </w:pPr>
    </w:p>
    <w:p w14:paraId="716EBC74" w14:textId="77777777" w:rsidR="00000000" w:rsidRDefault="00000000">
      <w:pPr>
        <w:pStyle w:val="Heading2"/>
        <w:divId w:val="1916891674"/>
        <w:rPr>
          <w:rFonts w:eastAsia="Times New Roman"/>
        </w:rPr>
      </w:pPr>
      <w:r>
        <w:rPr>
          <w:rFonts w:eastAsia="Times New Roman"/>
        </w:rPr>
        <w:t>Updates to heat health alerts</w:t>
      </w:r>
    </w:p>
    <w:p w14:paraId="4040A055" w14:textId="77777777" w:rsidR="00000000" w:rsidRDefault="00000000">
      <w:pPr>
        <w:pStyle w:val="NormalWeb"/>
        <w:divId w:val="1916891674"/>
      </w:pPr>
      <w:r>
        <w:t>UKHSA and the Met Office make daily risk assessments. We will issue a new alert should the alert level change.</w:t>
      </w:r>
    </w:p>
    <w:p w14:paraId="0A53AFD4" w14:textId="77777777" w:rsidR="00000000" w:rsidRDefault="00000000">
      <w:pPr>
        <w:pStyle w:val="Heading2"/>
        <w:divId w:val="1916891674"/>
        <w:rPr>
          <w:rFonts w:eastAsia="Times New Roman"/>
        </w:rPr>
      </w:pPr>
      <w:r>
        <w:rPr>
          <w:rFonts w:eastAsia="Times New Roman"/>
        </w:rPr>
        <w:t>Further Advice and guidance</w:t>
      </w:r>
    </w:p>
    <w:p w14:paraId="478D0E6A" w14:textId="77777777" w:rsidR="00000000" w:rsidRDefault="00000000">
      <w:pPr>
        <w:pStyle w:val="NormalWeb"/>
        <w:divId w:val="1916891674"/>
      </w:pPr>
      <w:hyperlink r:id="rId28" w:history="1">
        <w:r>
          <w:rPr>
            <w:rStyle w:val="Hyperlink"/>
          </w:rPr>
          <w:t>Flood Alerts and Warnings</w:t>
        </w:r>
      </w:hyperlink>
    </w:p>
    <w:p w14:paraId="096ECD68" w14:textId="77777777" w:rsidR="00000000" w:rsidRDefault="00000000">
      <w:pPr>
        <w:pStyle w:val="NormalWeb"/>
        <w:divId w:val="1916891674"/>
      </w:pPr>
      <w:hyperlink r:id="rId29" w:history="1">
        <w:r>
          <w:rPr>
            <w:rStyle w:val="Hyperlink"/>
          </w:rPr>
          <w:t>UKHSA Privacy Notice</w:t>
        </w:r>
      </w:hyperlink>
    </w:p>
    <w:p w14:paraId="7ACABA89" w14:textId="77777777" w:rsidR="00E17F68" w:rsidRDefault="00000000">
      <w:pPr>
        <w:divId w:val="1916891674"/>
        <w:rPr>
          <w:rFonts w:eastAsia="Times New Roman"/>
        </w:rPr>
      </w:pPr>
      <w:r>
        <w:rPr>
          <w:rFonts w:eastAsia="Times New Roman"/>
        </w:rPr>
        <w:t>*******************************************************************************************</w:t>
      </w:r>
      <w:r>
        <w:rPr>
          <w:rFonts w:eastAsia="Times New Roman"/>
        </w:rPr>
        <w:br/>
        <w:t>The information contained in the Email and any attachments is confidential and intended solely and for the attention and use of the named addressee(s). It may not be disclosed to any other person without the express authority of the UKHSA, or the intended recipient or both. If you are not the intended recipient, you must not disclose, copy, distribute or retain this message or any part of it. This footnote also confirms that this Email has been swept for computer viruses by Exchange Online Protection, but please re-sweep any attachments before opening or saving. UK Health Security Agency -(https://www.gov.uk/government/organisations/uk-health-security-agency)</w:t>
      </w:r>
      <w:r>
        <w:rPr>
          <w:rFonts w:eastAsia="Times New Roman"/>
        </w:rPr>
        <w:br/>
        <w:t xml:space="preserve">******************************************************************************************* </w:t>
      </w:r>
    </w:p>
    <w:sectPr w:rsidR="00E17F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47488"/>
    <w:multiLevelType w:val="multilevel"/>
    <w:tmpl w:val="2B54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5562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E74D4"/>
    <w:rsid w:val="002279B3"/>
    <w:rsid w:val="002E74D4"/>
    <w:rsid w:val="00E17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72826"/>
  <w15:chartTrackingRefBased/>
  <w15:docId w15:val="{0174CB17-3CD9-4DD5-BDAE-F7CC396BD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084585">
      <w:marLeft w:val="0"/>
      <w:marRight w:val="0"/>
      <w:marTop w:val="0"/>
      <w:marBottom w:val="0"/>
      <w:divBdr>
        <w:top w:val="single" w:sz="8" w:space="2" w:color="9C6500"/>
        <w:left w:val="single" w:sz="8" w:space="2" w:color="9C6500"/>
        <w:bottom w:val="single" w:sz="8" w:space="2" w:color="9C6500"/>
        <w:right w:val="single" w:sz="8" w:space="2" w:color="9C6500"/>
      </w:divBdr>
    </w:div>
    <w:div w:id="19168916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weather-health-alerting-system" TargetMode="External"/><Relationship Id="rId13" Type="http://schemas.openxmlformats.org/officeDocument/2006/relationships/hyperlink" Target="https://khub.net/documents/135939561/174099487/Heat-Health+Alert+summary+action+card+for+commissioners.pdf/cec04bee-d06f-1f9e-cec9-da087b751baf?t=1685095190583" TargetMode="External"/><Relationship Id="rId18" Type="http://schemas.openxmlformats.org/officeDocument/2006/relationships/hyperlink" Target="https://ukhsa-dashboard.data.gov.uk/weather-health-alerts" TargetMode="External"/><Relationship Id="rId26" Type="http://schemas.openxmlformats.org/officeDocument/2006/relationships/hyperlink" Target="https://forms.office.com/pages/responsepage.aspx?id=mRRO7jVKLkutR188-d6GZn06Ss-xPLpCuYeyOZ-eFiFUQVNONktQMzVTRzVRWUFHMDZFS0FXUlZTOCQlQCN0PWcu" TargetMode="External"/><Relationship Id="rId3" Type="http://schemas.openxmlformats.org/officeDocument/2006/relationships/styles" Target="styles.xml"/><Relationship Id="rId21" Type="http://schemas.openxmlformats.org/officeDocument/2006/relationships/hyperlink" Target="https://www.gov.uk/guidance/beat-the-heat-advice-for-hot-weather" TargetMode="External"/><Relationship Id="rId7" Type="http://schemas.openxmlformats.org/officeDocument/2006/relationships/hyperlink" Target="https://ukhsa-dashboard.data.gov.uk/weather-health-alerts/heat" TargetMode="External"/><Relationship Id="rId12" Type="http://schemas.openxmlformats.org/officeDocument/2006/relationships/hyperlink" Target="https://www.gov.uk/guidance/heat-health-alert-action-card-for-national-government" TargetMode="External"/><Relationship Id="rId17" Type="http://schemas.openxmlformats.org/officeDocument/2006/relationships/hyperlink" Target="https://khub.net/documents/135939561/174099487/Action+Card+Summary+Poster+-+care+homes+and+other+residential+settings.pdf/25d5c13c-48be-c9b1-879e-b12f88e57fb2" TargetMode="External"/><Relationship Id="rId25" Type="http://schemas.openxmlformats.org/officeDocument/2006/relationships/hyperlink" Target="https://forms.office.com/pages/responsepage.aspx?id=mRRO7jVKLkutR188-d6GZn06Ss-xPLpCuYeyOZ-eFiFUNlM3TzlLWlBZV1dLVEJPVUxSVkVYVVNBViQlQCN0PWcu" TargetMode="External"/><Relationship Id="rId2" Type="http://schemas.openxmlformats.org/officeDocument/2006/relationships/numbering" Target="numbering.xml"/><Relationship Id="rId16" Type="http://schemas.openxmlformats.org/officeDocument/2006/relationships/hyperlink" Target="https://khub.net/documents/135939561/174099487/Heat-Health+Alert+summary+action+card+for+providers.pdf/be948aea-c509-b647-560f-306d5a9505a6?t=1710761820841" TargetMode="External"/><Relationship Id="rId20" Type="http://schemas.openxmlformats.org/officeDocument/2006/relationships/hyperlink" Target="https://www.metoffice.gov.uk/" TargetMode="External"/><Relationship Id="rId29" Type="http://schemas.openxmlformats.org/officeDocument/2006/relationships/hyperlink" Target="https://www.gov.uk/government/publications/ukhsa-privacy-notice/ukhsa-privacy-notice" TargetMode="External"/><Relationship Id="rId1" Type="http://schemas.openxmlformats.org/officeDocument/2006/relationships/customXml" Target="../customXml/item1.xml"/><Relationship Id="rId6" Type="http://schemas.openxmlformats.org/officeDocument/2006/relationships/image" Target="https://lh3.googleusercontent.com/d/1ij6zBfV_Ucf4t1gPtKVH0STH1sDG38tf" TargetMode="External"/><Relationship Id="rId11" Type="http://schemas.openxmlformats.org/officeDocument/2006/relationships/hyperlink" Target="https://www.gov.uk/guidance/heat-health-alert-action-card-for-the-voluntary-and-community-sector" TargetMode="External"/><Relationship Id="rId24" Type="http://schemas.openxmlformats.org/officeDocument/2006/relationships/hyperlink" Target="https://forms.office.com/pages/responsepage.aspx?id=mRRO7jVKLkutR188-d6GZn06Ss-xPLpCuYeyOZ-eFiFUMEVIMDRTOE5FVzFFM0NXNjFMWUlWMkJVMCQlQCN0PWcu" TargetMode="External"/><Relationship Id="rId5" Type="http://schemas.openxmlformats.org/officeDocument/2006/relationships/webSettings" Target="webSettings.xml"/><Relationship Id="rId15" Type="http://schemas.openxmlformats.org/officeDocument/2006/relationships/hyperlink" Target="https://khub.net/documents/135939561/174099487/Action+Card+Summary+Poster+-+care+homes.pdf/ce49a5d3-d07b-a159-2f13-2c2d8a714d95?t=1710866856422" TargetMode="External"/><Relationship Id="rId23" Type="http://schemas.openxmlformats.org/officeDocument/2006/relationships/hyperlink" Target="https://www.gov.uk/guidance/local-resilience-forums-contact-details" TargetMode="External"/><Relationship Id="rId28" Type="http://schemas.openxmlformats.org/officeDocument/2006/relationships/hyperlink" Target="https://check-for-flooding.service.gov.uk/alerts-and-warnings" TargetMode="External"/><Relationship Id="rId10" Type="http://schemas.openxmlformats.org/officeDocument/2006/relationships/hyperlink" Target="https://www.gov.uk/guidance/heat-health-alert-action-card-for-health-and-social-care-providers" TargetMode="External"/><Relationship Id="rId19" Type="http://schemas.openxmlformats.org/officeDocument/2006/relationships/hyperlink" Target="https://www.metoffice.gov.uk/weather/warnings-and-advice/uk-warning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uidance/heat-health-alert-action-card-for-commissioners" TargetMode="External"/><Relationship Id="rId14" Type="http://schemas.openxmlformats.org/officeDocument/2006/relationships/hyperlink" Target="https://khub.net/documents/135939561/174099487/Heat-Health+Alert+summary+action+card+for+the+voluntary+and+community+sector.pdf/67baffbd-5931-0491-8bb6-1deb201cdc46?t=1685095217750" TargetMode="External"/><Relationship Id="rId22" Type="http://schemas.openxmlformats.org/officeDocument/2006/relationships/hyperlink" Target="https://www.gov.uk/guidance/adverse-weather-and-health-plan" TargetMode="External"/><Relationship Id="rId27" Type="http://schemas.openxmlformats.org/officeDocument/2006/relationships/hyperlink" Target="https://forms.office.com/pages/responsepage.aspx?id=mRRO7jVKLkutR188-d6GZn06Ss-xPLpCuYeyOZ-eFiFUNFJUM1BYVDY4TjM5VDBaNzJJNlU0MkFKQSQlQCN0PWc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CAE03-9D3C-4DDA-8BBE-F616D00D3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1169</Words>
  <Characters>6669</Characters>
  <Application>Microsoft Office Word</Application>
  <DocSecurity>0</DocSecurity>
  <Lines>55</Lines>
  <Paragraphs>15</Paragraphs>
  <ScaleCrop>false</ScaleCrop>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Odgers</dc:creator>
  <cp:keywords/>
  <dc:description/>
  <cp:lastModifiedBy>Jamie Odgers</cp:lastModifiedBy>
  <cp:revision>2</cp:revision>
  <dcterms:created xsi:type="dcterms:W3CDTF">2026-06-23T07:48:00Z</dcterms:created>
  <dcterms:modified xsi:type="dcterms:W3CDTF">2026-06-23T07:48:00Z</dcterms:modified>
</cp:coreProperties>
</file>